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3102A" w14:textId="59471594" w:rsidR="004B4717" w:rsidRDefault="00574F86" w:rsidP="004029ED">
      <w:pPr>
        <w:pStyle w:val="Naslov1"/>
        <w:jc w:val="both"/>
      </w:pPr>
      <w:r>
        <w:t xml:space="preserve">Analiza potpora za očuvanje radnih mjesta isplaćenih za travanj 2020. godine  </w:t>
      </w:r>
    </w:p>
    <w:p w14:paraId="5BF1CCBD" w14:textId="664846D9" w:rsidR="00574F86" w:rsidRDefault="00574F86" w:rsidP="004029ED">
      <w:pPr>
        <w:jc w:val="both"/>
      </w:pPr>
    </w:p>
    <w:p w14:paraId="1C3306D3" w14:textId="5186A59B" w:rsidR="00573DC5" w:rsidRDefault="00573DC5" w:rsidP="004029ED">
      <w:pPr>
        <w:jc w:val="both"/>
      </w:pPr>
      <w:r>
        <w:t>Autor: Hrvoje Njegovec, Fininfo</w:t>
      </w:r>
    </w:p>
    <w:p w14:paraId="0DE73711" w14:textId="09F52257" w:rsidR="00601A15" w:rsidRDefault="00574F86" w:rsidP="004029ED">
      <w:pPr>
        <w:jc w:val="both"/>
      </w:pPr>
      <w:r>
        <w:t>U drugom dijelu ovog serijala donosimo vam detalj</w:t>
      </w:r>
      <w:r w:rsidR="00766EF7">
        <w:t>an</w:t>
      </w:r>
      <w:r>
        <w:t xml:space="preserve"> </w:t>
      </w:r>
      <w:r w:rsidR="00766EF7">
        <w:t>pregled</w:t>
      </w:r>
      <w:r>
        <w:t xml:space="preserve"> </w:t>
      </w:r>
      <w:r w:rsidR="009E04CD">
        <w:t xml:space="preserve">strukture </w:t>
      </w:r>
      <w:r w:rsidR="00F74173">
        <w:t xml:space="preserve">subjekata kojima su isplaćene potpore </w:t>
      </w:r>
      <w:r>
        <w:t xml:space="preserve">za očuvanje radnih mjesta za mjesec travanj 2020. godine. </w:t>
      </w:r>
      <w:r w:rsidR="00F74173">
        <w:t xml:space="preserve">Analizu </w:t>
      </w:r>
      <w:r>
        <w:t xml:space="preserve">je </w:t>
      </w:r>
      <w:r w:rsidR="00FC3619">
        <w:t xml:space="preserve">izradio financijski portal Fininfo (www.fininfo.hr) </w:t>
      </w:r>
      <w:r>
        <w:t xml:space="preserve">na temelju </w:t>
      </w:r>
      <w:r w:rsidR="00FC3619">
        <w:t xml:space="preserve">vlastitih i </w:t>
      </w:r>
      <w:r>
        <w:t>podataka Hrvatskog zavoda za zapošljavanje.</w:t>
      </w:r>
      <w:r w:rsidR="009E04CD">
        <w:t xml:space="preserve"> Kao što smo naveli u prvom dijelu serijala, predm</w:t>
      </w:r>
      <w:bookmarkStart w:id="0" w:name="_GoBack"/>
      <w:bookmarkEnd w:id="0"/>
      <w:r w:rsidR="009E04CD">
        <w:t>et analize je 98.535 poslovnih subjekata kojima je isplaćeno 2,2 milijarde kuna potpora za ukupno 558.724 zaposlenika.</w:t>
      </w:r>
    </w:p>
    <w:p w14:paraId="3CC80FBB" w14:textId="4564A57D" w:rsidR="00601A15" w:rsidRDefault="00601A15" w:rsidP="004029ED">
      <w:pPr>
        <w:pStyle w:val="Naslov2"/>
        <w:jc w:val="both"/>
      </w:pPr>
      <w:r>
        <w:t xml:space="preserve">Struktura </w:t>
      </w:r>
      <w:r w:rsidR="007E2667">
        <w:t>pravnih oblika</w:t>
      </w:r>
      <w:r>
        <w:t xml:space="preserve"> primatelja potpore</w:t>
      </w:r>
    </w:p>
    <w:p w14:paraId="54A599D2" w14:textId="54A78F39" w:rsidR="006F0A1C" w:rsidRDefault="006F0A1C" w:rsidP="004029ED">
      <w:pPr>
        <w:jc w:val="both"/>
      </w:pPr>
    </w:p>
    <w:p w14:paraId="3001EB2B" w14:textId="27AD2155" w:rsidR="006F0A1C" w:rsidRDefault="006F0A1C" w:rsidP="0082443C">
      <w:pPr>
        <w:jc w:val="both"/>
      </w:pPr>
      <w:r>
        <w:t xml:space="preserve">Promatramo li </w:t>
      </w:r>
      <w:r w:rsidRPr="004A364B">
        <w:rPr>
          <w:b/>
          <w:bCs/>
        </w:rPr>
        <w:t>iznose isplaćenih potpora</w:t>
      </w:r>
      <w:r>
        <w:t xml:space="preserve"> i </w:t>
      </w:r>
      <w:r w:rsidRPr="004A364B">
        <w:rPr>
          <w:b/>
          <w:bCs/>
        </w:rPr>
        <w:t>broj zaposlenih</w:t>
      </w:r>
      <w:r>
        <w:t xml:space="preserve"> u </w:t>
      </w:r>
      <w:r w:rsidR="00FC3619">
        <w:t xml:space="preserve">subjektima koji </w:t>
      </w:r>
      <w:r>
        <w:t xml:space="preserve">su </w:t>
      </w:r>
      <w:r w:rsidR="00FC3619">
        <w:t xml:space="preserve">primili </w:t>
      </w:r>
      <w:r>
        <w:t>potpore, kao 5 najzastupljenijih pravnih oblika javljaju se redom:</w:t>
      </w:r>
    </w:p>
    <w:p w14:paraId="13C555D1" w14:textId="25493AEB" w:rsidR="00570B14" w:rsidRPr="006F0A1C" w:rsidRDefault="00570B14" w:rsidP="0082443C">
      <w:pPr>
        <w:jc w:val="both"/>
      </w:pPr>
      <w:r>
        <w:rPr>
          <w:noProof/>
          <w:lang w:eastAsia="hr-HR"/>
        </w:rPr>
        <w:drawing>
          <wp:inline distT="0" distB="0" distL="0" distR="0" wp14:anchorId="056605B1" wp14:editId="51202D56">
            <wp:extent cx="5760720" cy="1475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vni oblici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70B49" w14:textId="45560027" w:rsidR="003F581F" w:rsidRPr="00A1276B" w:rsidRDefault="00A1276B" w:rsidP="00A1276B">
      <w:pPr>
        <w:pStyle w:val="Opisslike"/>
        <w:rPr>
          <w:rFonts w:cstheme="minorHAnsi"/>
          <w:color w:val="000000" w:themeColor="text1"/>
        </w:rPr>
      </w:pPr>
      <w:r w:rsidRPr="00A1276B">
        <w:rPr>
          <w:rFonts w:cstheme="minorHAnsi"/>
          <w:color w:val="000000" w:themeColor="text1"/>
        </w:rPr>
        <w:t>Izvor: fininfo.hr</w:t>
      </w:r>
    </w:p>
    <w:p w14:paraId="59DE4D0E" w14:textId="0AAA034B" w:rsidR="007D1D9A" w:rsidRDefault="004029ED" w:rsidP="004029ED">
      <w:pPr>
        <w:jc w:val="both"/>
      </w:pPr>
      <w:r>
        <w:t xml:space="preserve">Iz tablice iznad vidljivo je kako spomenutih 5 pravnih oblika zapošljava nešto više od 98% svih zaposlenika za koje su potpore za mjesec travanj isplaćene. </w:t>
      </w:r>
      <w:r w:rsidR="00FC3619">
        <w:t>Posljedično je</w:t>
      </w:r>
      <w:r>
        <w:t xml:space="preserve"> navedenih 5 pravnih oblika primilo nešto više od 98% cjelokupnog isplaćenog iznosa za mjesec travanj. Od ovih 5 kategorija, posebnu pozornost </w:t>
      </w:r>
      <w:r w:rsidR="00FC3619">
        <w:t xml:space="preserve">skrećemo na </w:t>
      </w:r>
      <w:r>
        <w:t xml:space="preserve"> </w:t>
      </w:r>
      <w:r w:rsidR="00FC3619" w:rsidRPr="00B64AF1">
        <w:rPr>
          <w:b/>
          <w:bCs/>
        </w:rPr>
        <w:t>ustanov</w:t>
      </w:r>
      <w:r w:rsidR="00FC3619">
        <w:rPr>
          <w:b/>
          <w:bCs/>
        </w:rPr>
        <w:t>e</w:t>
      </w:r>
      <w:r>
        <w:t>, iz razloga što je to jedina kategorija (od navedenih 5) koja</w:t>
      </w:r>
      <w:r w:rsidR="00AB4ACD">
        <w:t xml:space="preserve"> je osnovana i </w:t>
      </w:r>
      <w:r>
        <w:t xml:space="preserve">posluje </w:t>
      </w:r>
      <w:r w:rsidR="00AB4ACD">
        <w:t>u svrhu obavljanja djelatnosti od javnog interesa</w:t>
      </w:r>
      <w:r w:rsidR="00575A28">
        <w:t xml:space="preserve">. </w:t>
      </w:r>
      <w:r w:rsidR="009B0F50">
        <w:t>Najveći dio</w:t>
      </w:r>
      <w:r w:rsidR="00575A28">
        <w:t xml:space="preserve"> ustanova (93%) koje su primile potpore za mjesec travanj posluje u obrazovnom i zdravstvenom sektoru (</w:t>
      </w:r>
      <w:r w:rsidR="00FC3619">
        <w:t xml:space="preserve">pretežito </w:t>
      </w:r>
      <w:r w:rsidR="00575A28">
        <w:t xml:space="preserve">dječji </w:t>
      </w:r>
      <w:r w:rsidR="00FC3619">
        <w:t xml:space="preserve">vrtići </w:t>
      </w:r>
      <w:r w:rsidR="00575A28">
        <w:t xml:space="preserve">i </w:t>
      </w:r>
      <w:r w:rsidR="00FC3619">
        <w:t>poliklinike</w:t>
      </w:r>
      <w:r w:rsidR="00575A28">
        <w:t>)</w:t>
      </w:r>
      <w:r w:rsidR="007D1D9A">
        <w:t>.</w:t>
      </w:r>
    </w:p>
    <w:p w14:paraId="16F888B7" w14:textId="50F01363" w:rsidR="008B42B3" w:rsidRDefault="007D1D9A" w:rsidP="004029ED">
      <w:pPr>
        <w:jc w:val="both"/>
      </w:pPr>
      <w:r>
        <w:t xml:space="preserve">Promatra li se </w:t>
      </w:r>
      <w:r w:rsidRPr="004A364B">
        <w:rPr>
          <w:b/>
          <w:bCs/>
        </w:rPr>
        <w:t>broj subjekata</w:t>
      </w:r>
      <w:r>
        <w:t xml:space="preserve"> koji su primili potpore, iz tablice ispod </w:t>
      </w:r>
      <w:r w:rsidR="003D7CB2">
        <w:t xml:space="preserve">vidljivo </w:t>
      </w:r>
      <w:r>
        <w:t xml:space="preserve">je </w:t>
      </w:r>
      <w:r w:rsidR="003D7CB2">
        <w:t xml:space="preserve">da prevladavaju </w:t>
      </w:r>
      <w:r w:rsidR="008B42B3">
        <w:t xml:space="preserve">2 pravna oblika, a to su </w:t>
      </w:r>
      <w:r w:rsidR="008B42B3" w:rsidRPr="0082443C">
        <w:rPr>
          <w:b/>
          <w:bCs/>
        </w:rPr>
        <w:t>obrti</w:t>
      </w:r>
      <w:r w:rsidR="008B42B3">
        <w:t xml:space="preserve"> i </w:t>
      </w:r>
      <w:r w:rsidR="008B42B3" w:rsidRPr="0082443C">
        <w:rPr>
          <w:b/>
          <w:bCs/>
        </w:rPr>
        <w:t>društva s ograničenom odgovornošću</w:t>
      </w:r>
      <w:r w:rsidR="008B42B3">
        <w:t xml:space="preserve">. Ova dva pravna oblika zajedno obuhvaćaju preko 84% svih </w:t>
      </w:r>
      <w:r w:rsidR="003D7CB2">
        <w:t xml:space="preserve">subjekata koji </w:t>
      </w:r>
      <w:r w:rsidR="008B42B3">
        <w:t xml:space="preserve">su </w:t>
      </w:r>
      <w:r w:rsidR="003D7CB2">
        <w:t xml:space="preserve">primili </w:t>
      </w:r>
      <w:r w:rsidR="008B42B3">
        <w:t xml:space="preserve">potpore. Važno je napomenuti kako u ovoj tablici nema dioničkih društava (obzirom da ih je generalno malo), a umjesto njih pojavila se kategorija </w:t>
      </w:r>
      <w:r w:rsidR="00B64AF1">
        <w:rPr>
          <w:b/>
          <w:bCs/>
        </w:rPr>
        <w:t>s</w:t>
      </w:r>
      <w:r w:rsidR="008B42B3" w:rsidRPr="00B64AF1">
        <w:rPr>
          <w:b/>
          <w:bCs/>
        </w:rPr>
        <w:t>lobodno zanimanje</w:t>
      </w:r>
      <w:r w:rsidR="00FA24E6">
        <w:rPr>
          <w:b/>
          <w:bCs/>
        </w:rPr>
        <w:t>,</w:t>
      </w:r>
      <w:r w:rsidR="008B42B3">
        <w:t xml:space="preserve"> gdje </w:t>
      </w:r>
      <w:r w:rsidR="009B0F50">
        <w:t xml:space="preserve">kao primatelji potpore </w:t>
      </w:r>
      <w:r w:rsidR="008B42B3">
        <w:t xml:space="preserve">prevladavaju odvjetnici, javni bilježnici i ordinacije privatne </w:t>
      </w:r>
      <w:r w:rsidR="004A364B">
        <w:t xml:space="preserve">liječničke </w:t>
      </w:r>
      <w:r w:rsidR="008B42B3">
        <w:t>prakse.</w:t>
      </w:r>
    </w:p>
    <w:p w14:paraId="16173CDD" w14:textId="0B0E9723" w:rsidR="00570B14" w:rsidRPr="003F581F" w:rsidRDefault="00570B14" w:rsidP="004029ED">
      <w:pPr>
        <w:jc w:val="both"/>
      </w:pPr>
      <w:r>
        <w:rPr>
          <w:noProof/>
          <w:lang w:eastAsia="hr-HR"/>
        </w:rPr>
        <w:drawing>
          <wp:inline distT="0" distB="0" distL="0" distR="0" wp14:anchorId="49C8CD0A" wp14:editId="137BF786">
            <wp:extent cx="5760720" cy="140406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vni oblici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14DA" w14:textId="4CB56A09" w:rsidR="00601A15" w:rsidRPr="00A1276B" w:rsidRDefault="00A1276B" w:rsidP="00A1276B">
      <w:pPr>
        <w:pStyle w:val="Opisslike"/>
        <w:rPr>
          <w:rFonts w:cstheme="minorHAnsi"/>
          <w:color w:val="000000" w:themeColor="text1"/>
        </w:rPr>
      </w:pPr>
      <w:r w:rsidRPr="00A1276B">
        <w:rPr>
          <w:rFonts w:cstheme="minorHAnsi"/>
          <w:color w:val="000000" w:themeColor="text1"/>
        </w:rPr>
        <w:lastRenderedPageBreak/>
        <w:t>Izvor: fininfo.hr</w:t>
      </w:r>
    </w:p>
    <w:p w14:paraId="0A533920" w14:textId="4EDD7326" w:rsidR="007E2667" w:rsidRDefault="007E2667" w:rsidP="007E2667">
      <w:pPr>
        <w:pStyle w:val="Naslov2"/>
      </w:pPr>
      <w:r>
        <w:t>Starosna struktura primatelja potpore</w:t>
      </w:r>
    </w:p>
    <w:p w14:paraId="209766E0" w14:textId="6B5272B1" w:rsidR="00471B7B" w:rsidRDefault="00471B7B" w:rsidP="00471B7B">
      <w:pPr>
        <w:jc w:val="both"/>
      </w:pPr>
    </w:p>
    <w:p w14:paraId="0E85C939" w14:textId="606DF27F" w:rsidR="007E2667" w:rsidRDefault="003D7CB2" w:rsidP="00471B7B">
      <w:pPr>
        <w:jc w:val="both"/>
      </w:pPr>
      <w:r>
        <w:t xml:space="preserve">Stariji subjekti su </w:t>
      </w:r>
      <w:r w:rsidR="00471B7B">
        <w:t>obično</w:t>
      </w:r>
      <w:r>
        <w:t>,</w:t>
      </w:r>
      <w:r w:rsidR="00471B7B">
        <w:t xml:space="preserve"> zbog dužeg poslovanja</w:t>
      </w:r>
      <w:r>
        <w:t>,</w:t>
      </w:r>
      <w:r w:rsidR="003049AF">
        <w:t xml:space="preserve"> </w:t>
      </w:r>
      <w:r w:rsidR="00471B7B">
        <w:t>prikupljenog iskustva</w:t>
      </w:r>
      <w:r>
        <w:t xml:space="preserve"> i sredstava (kapitalne rezerve),</w:t>
      </w:r>
      <w:r w:rsidR="00471B7B">
        <w:t xml:space="preserve"> </w:t>
      </w:r>
      <w:r>
        <w:t xml:space="preserve">stabilniji </w:t>
      </w:r>
      <w:r w:rsidR="00471B7B">
        <w:t xml:space="preserve">i </w:t>
      </w:r>
      <w:r>
        <w:t>otporniji na krize od subjekata koji su u ranoj fazi svog postojanja.</w:t>
      </w:r>
      <w:r w:rsidR="00471B7B">
        <w:t xml:space="preserve"> U ovom dijelu analize, primatelje potpora podijelili smo na </w:t>
      </w:r>
      <w:r w:rsidR="00D66C9B">
        <w:rPr>
          <w:b/>
          <w:bCs/>
        </w:rPr>
        <w:t>mlade</w:t>
      </w:r>
      <w:r w:rsidR="00D66C9B">
        <w:t xml:space="preserve"> </w:t>
      </w:r>
      <w:r w:rsidR="00471B7B">
        <w:t xml:space="preserve">(osnovani </w:t>
      </w:r>
      <w:r w:rsidR="00D66C9B">
        <w:t>2015</w:t>
      </w:r>
      <w:r w:rsidR="00471B7B">
        <w:t xml:space="preserve">. godine i </w:t>
      </w:r>
      <w:r w:rsidR="00D66C9B">
        <w:t>kasnije</w:t>
      </w:r>
      <w:r w:rsidR="00471B7B">
        <w:t xml:space="preserve">) i </w:t>
      </w:r>
      <w:r w:rsidR="0082443C" w:rsidRPr="0082443C">
        <w:rPr>
          <w:b/>
          <w:bCs/>
        </w:rPr>
        <w:t>s</w:t>
      </w:r>
      <w:r w:rsidR="00471B7B" w:rsidRPr="0082443C">
        <w:rPr>
          <w:b/>
          <w:bCs/>
        </w:rPr>
        <w:t>tare</w:t>
      </w:r>
      <w:r w:rsidR="00471B7B">
        <w:t xml:space="preserve"> (osnovani prije 201</w:t>
      </w:r>
      <w:r w:rsidR="00D66C9B">
        <w:t>5</w:t>
      </w:r>
      <w:r w:rsidR="00471B7B">
        <w:t>. godine)</w:t>
      </w:r>
      <w:r w:rsidR="009018BA">
        <w:t>.</w:t>
      </w:r>
    </w:p>
    <w:p w14:paraId="3EFBB664" w14:textId="25C94AD0" w:rsidR="007E2667" w:rsidRDefault="009018BA" w:rsidP="009018BA">
      <w:r>
        <w:rPr>
          <w:noProof/>
          <w:lang w:eastAsia="hr-HR"/>
        </w:rPr>
        <w:drawing>
          <wp:inline distT="0" distB="0" distL="0" distR="0" wp14:anchorId="287B3A59" wp14:editId="35C8FA8C">
            <wp:extent cx="5734050" cy="18580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osna struktu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122" cy="185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2D9B" w14:textId="3647C5D6" w:rsidR="00A1276B" w:rsidRPr="009018BA" w:rsidRDefault="00A1276B" w:rsidP="009018BA">
      <w:pPr>
        <w:pStyle w:val="Opisslike"/>
        <w:rPr>
          <w:rFonts w:cstheme="minorHAnsi"/>
          <w:color w:val="000000" w:themeColor="text1"/>
        </w:rPr>
      </w:pPr>
      <w:r w:rsidRPr="00A1276B">
        <w:rPr>
          <w:rFonts w:cstheme="minorHAnsi"/>
          <w:color w:val="000000" w:themeColor="text1"/>
        </w:rPr>
        <w:t>Izvor: fininfo.hr</w:t>
      </w:r>
    </w:p>
    <w:p w14:paraId="108F1311" w14:textId="374CFF7B" w:rsidR="00471B7B" w:rsidRDefault="00471B7B" w:rsidP="007E2667">
      <w:pPr>
        <w:jc w:val="both"/>
      </w:pPr>
      <w:r>
        <w:t xml:space="preserve">Ovaj graf jasno prikazuje kako stvarna situacija nije </w:t>
      </w:r>
      <w:r w:rsidR="003D7CB2">
        <w:t>uobičajena za krizne situacije</w:t>
      </w:r>
      <w:r>
        <w:t xml:space="preserve">. </w:t>
      </w:r>
      <w:r w:rsidR="003D7CB2">
        <w:t>Naime, t</w:t>
      </w:r>
      <w:r w:rsidR="00F168AF">
        <w:t>renutno je u Republici Hrvatskoj udio „</w:t>
      </w:r>
      <w:r w:rsidR="00D66C9B">
        <w:t>starih</w:t>
      </w:r>
      <w:r w:rsidR="00F168AF">
        <w:t xml:space="preserve">“ aktivnih poduzeća </w:t>
      </w:r>
      <w:r w:rsidR="00D66C9B">
        <w:t>oko 60 %,</w:t>
      </w:r>
      <w:r w:rsidR="00F168AF">
        <w:t xml:space="preserve"> </w:t>
      </w:r>
      <w:r w:rsidR="003D7CB2">
        <w:t xml:space="preserve">koliko je otprilike starih subjekata u strukturi broja poduzeća. </w:t>
      </w:r>
      <w:r w:rsidR="002C396C">
        <w:t>Stoga se može zaključiti kako je ova kriza pogodila podjednako mlade i stare subjekte. Iz gore navedeno</w:t>
      </w:r>
      <w:r w:rsidR="0075651D">
        <w:t>g</w:t>
      </w:r>
      <w:r w:rsidR="002C396C">
        <w:t xml:space="preserve"> grafa se može iščitati još jedan zaključak – da stari subjekti imaju znatno veći prosječan broj zaposlenih od mladih, što je i očekivano. </w:t>
      </w:r>
    </w:p>
    <w:p w14:paraId="37BFF8BB" w14:textId="77777777" w:rsidR="009018BA" w:rsidRDefault="009018BA" w:rsidP="001B289A">
      <w:pPr>
        <w:pStyle w:val="Naslov2"/>
      </w:pPr>
    </w:p>
    <w:p w14:paraId="168887BC" w14:textId="70943A6F" w:rsidR="00247C01" w:rsidRDefault="00247C01" w:rsidP="001B289A">
      <w:pPr>
        <w:pStyle w:val="Naslov2"/>
      </w:pPr>
      <w:r>
        <w:t>Porezni dužnici primatelji potpore</w:t>
      </w:r>
    </w:p>
    <w:p w14:paraId="3C5192AC" w14:textId="77777777" w:rsidR="001B289A" w:rsidRPr="001B289A" w:rsidRDefault="001B289A" w:rsidP="001B289A"/>
    <w:p w14:paraId="70328941" w14:textId="1837C57E" w:rsidR="003D3158" w:rsidRDefault="00247C01" w:rsidP="003D3158">
      <w:pPr>
        <w:jc w:val="both"/>
      </w:pPr>
      <w:r>
        <w:t xml:space="preserve">Poreznim dužnikom smatra se </w:t>
      </w:r>
      <w:r w:rsidR="002C396C">
        <w:t xml:space="preserve">subjekt </w:t>
      </w:r>
      <w:r w:rsidR="001B289A">
        <w:t>koji</w:t>
      </w:r>
      <w:r>
        <w:t xml:space="preserve"> nije podmirio obvezna davanja državi, odnosno </w:t>
      </w:r>
      <w:r w:rsidR="00400308">
        <w:t>duguje poreze ili doprinose državnom proračunu</w:t>
      </w:r>
      <w:r>
        <w:t xml:space="preserve">. S druge strane, država je ta koja je isplatila potpore za očuvanje radnih mjesta. </w:t>
      </w:r>
      <w:r w:rsidR="00BC6604">
        <w:t>U analizi Fininfo portala (</w:t>
      </w:r>
      <w:hyperlink r:id="rId11" w:history="1">
        <w:r w:rsidR="00BC6604" w:rsidRPr="00F019E4">
          <w:rPr>
            <w:rStyle w:val="Hiperveza"/>
          </w:rPr>
          <w:t>www.fininfo.hr</w:t>
        </w:r>
      </w:hyperlink>
      <w:r w:rsidR="00BC6604">
        <w:t>)</w:t>
      </w:r>
      <w:r>
        <w:t>,</w:t>
      </w:r>
      <w:r w:rsidR="00BC6604">
        <w:t xml:space="preserve"> </w:t>
      </w:r>
      <w:r>
        <w:t xml:space="preserve">identificirano je ukupno </w:t>
      </w:r>
      <w:r w:rsidRPr="001B289A">
        <w:rPr>
          <w:b/>
          <w:bCs/>
        </w:rPr>
        <w:t>28 subjekata</w:t>
      </w:r>
      <w:r>
        <w:t xml:space="preserve"> kojima je država isplatila potpore za mjesec travanj, a u tom istom razdoblju nalazili su se na listi poreznih dužnika</w:t>
      </w:r>
      <w:r w:rsidR="001B289A">
        <w:t xml:space="preserve">, odnosno nisu podmirili svoja </w:t>
      </w:r>
      <w:r w:rsidR="00550023">
        <w:t>dugovanja</w:t>
      </w:r>
      <w:r w:rsidR="001B289A">
        <w:t xml:space="preserve"> prema državi. Zanimljivo je da se </w:t>
      </w:r>
      <w:r w:rsidR="002C396C">
        <w:t xml:space="preserve">među </w:t>
      </w:r>
      <w:r w:rsidR="001B289A">
        <w:t xml:space="preserve">tih 28 subjekata nalazi </w:t>
      </w:r>
      <w:r w:rsidR="001B289A" w:rsidRPr="001B289A">
        <w:rPr>
          <w:b/>
          <w:bCs/>
        </w:rPr>
        <w:t>5 dioničkih društava</w:t>
      </w:r>
      <w:r w:rsidR="001B289A">
        <w:t xml:space="preserve"> i </w:t>
      </w:r>
      <w:r w:rsidR="001B289A" w:rsidRPr="001B289A">
        <w:rPr>
          <w:b/>
          <w:bCs/>
        </w:rPr>
        <w:t>23 društva s ograničenom odgovornošću</w:t>
      </w:r>
      <w:r w:rsidR="001B289A">
        <w:t xml:space="preserve">, koji su  primili potpore u iznosu od </w:t>
      </w:r>
      <w:r w:rsidR="001B289A" w:rsidRPr="001B289A">
        <w:rPr>
          <w:b/>
          <w:bCs/>
        </w:rPr>
        <w:t>2.240.500 kn</w:t>
      </w:r>
      <w:r w:rsidR="001B289A">
        <w:t xml:space="preserve"> za </w:t>
      </w:r>
      <w:r w:rsidR="001B289A" w:rsidRPr="001B289A">
        <w:rPr>
          <w:b/>
          <w:bCs/>
        </w:rPr>
        <w:t>557 zaposlenika</w:t>
      </w:r>
      <w:r w:rsidR="001B289A">
        <w:rPr>
          <w:b/>
          <w:bCs/>
        </w:rPr>
        <w:t>.</w:t>
      </w:r>
      <w:r w:rsidR="00400308">
        <w:rPr>
          <w:b/>
          <w:bCs/>
        </w:rPr>
        <w:t xml:space="preserve"> </w:t>
      </w:r>
      <w:r w:rsidR="00400308">
        <w:t>Spomenutih 28 poduzeća državi je dužno čak</w:t>
      </w:r>
      <w:r w:rsidR="00400308" w:rsidRPr="00400308">
        <w:t xml:space="preserve"> </w:t>
      </w:r>
      <w:r w:rsidR="00400308" w:rsidRPr="004B24D6">
        <w:rPr>
          <w:b/>
          <w:bCs/>
        </w:rPr>
        <w:t>106.286.909,73</w:t>
      </w:r>
      <w:r w:rsidR="004B24D6" w:rsidRPr="004B24D6">
        <w:rPr>
          <w:b/>
          <w:bCs/>
        </w:rPr>
        <w:t xml:space="preserve"> kn.</w:t>
      </w:r>
    </w:p>
    <w:p w14:paraId="7D917E05" w14:textId="37A91B95" w:rsidR="00D66C9B" w:rsidRPr="008A4898" w:rsidRDefault="00A1276B" w:rsidP="003D3158">
      <w:pPr>
        <w:jc w:val="both"/>
      </w:pPr>
      <w:r>
        <w:t>U</w:t>
      </w:r>
      <w:r w:rsidR="00A64A1D">
        <w:t xml:space="preserve">zmemo li u obzir </w:t>
      </w:r>
      <w:r w:rsidR="00AC1382">
        <w:t xml:space="preserve">navedeno </w:t>
      </w:r>
      <w:r w:rsidR="00A64A1D">
        <w:t>u prva dva dijela ovog serijala</w:t>
      </w:r>
      <w:r w:rsidR="00AC1382">
        <w:t xml:space="preserve"> Fininfo portala (www.fininfo.hr)</w:t>
      </w:r>
      <w:r w:rsidR="00A64A1D">
        <w:t xml:space="preserve">, možemo zaključiti kako isplate potpora ovakvog tipa iziskuju implementaciju dodatnih ograničenja i veću kontrolu subjekata </w:t>
      </w:r>
      <w:r w:rsidR="00AC1382">
        <w:t>kojim</w:t>
      </w:r>
      <w:r w:rsidR="005043E0">
        <w:t>a</w:t>
      </w:r>
      <w:r w:rsidR="00AC1382">
        <w:t xml:space="preserve"> se </w:t>
      </w:r>
      <w:r w:rsidR="00A64A1D">
        <w:t>potpore isplać</w:t>
      </w:r>
      <w:r w:rsidR="00AC1382">
        <w:t>uju</w:t>
      </w:r>
      <w:r w:rsidR="00A64A1D">
        <w:t>.</w:t>
      </w:r>
    </w:p>
    <w:sectPr w:rsidR="00D66C9B" w:rsidRPr="008A4898" w:rsidSect="00570B14">
      <w:pgSz w:w="11906" w:h="16838"/>
      <w:pgMar w:top="1417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EF16" w14:textId="77777777" w:rsidR="0019141F" w:rsidRDefault="0019141F" w:rsidP="00A1276B">
      <w:pPr>
        <w:spacing w:after="0" w:line="240" w:lineRule="auto"/>
      </w:pPr>
      <w:r>
        <w:separator/>
      </w:r>
    </w:p>
  </w:endnote>
  <w:endnote w:type="continuationSeparator" w:id="0">
    <w:p w14:paraId="03C994DA" w14:textId="77777777" w:rsidR="0019141F" w:rsidRDefault="0019141F" w:rsidP="00A1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D5C6" w14:textId="77777777" w:rsidR="0019141F" w:rsidRDefault="0019141F" w:rsidP="00A1276B">
      <w:pPr>
        <w:spacing w:after="0" w:line="240" w:lineRule="auto"/>
      </w:pPr>
      <w:r>
        <w:separator/>
      </w:r>
    </w:p>
  </w:footnote>
  <w:footnote w:type="continuationSeparator" w:id="0">
    <w:p w14:paraId="27B2721E" w14:textId="77777777" w:rsidR="0019141F" w:rsidRDefault="0019141F" w:rsidP="00A1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C1201"/>
    <w:multiLevelType w:val="hybridMultilevel"/>
    <w:tmpl w:val="C2E4309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86"/>
    <w:rsid w:val="00060AF7"/>
    <w:rsid w:val="000C4F0A"/>
    <w:rsid w:val="000D0D23"/>
    <w:rsid w:val="000E4BAE"/>
    <w:rsid w:val="001123A6"/>
    <w:rsid w:val="00127B82"/>
    <w:rsid w:val="0019141F"/>
    <w:rsid w:val="001B289A"/>
    <w:rsid w:val="001B2F0D"/>
    <w:rsid w:val="001B4088"/>
    <w:rsid w:val="001F53DE"/>
    <w:rsid w:val="00202F49"/>
    <w:rsid w:val="00247C01"/>
    <w:rsid w:val="00260BD3"/>
    <w:rsid w:val="002803CF"/>
    <w:rsid w:val="002B1058"/>
    <w:rsid w:val="002C396C"/>
    <w:rsid w:val="002D3FDA"/>
    <w:rsid w:val="002F43D0"/>
    <w:rsid w:val="003049AF"/>
    <w:rsid w:val="00355DD9"/>
    <w:rsid w:val="003630CE"/>
    <w:rsid w:val="00392056"/>
    <w:rsid w:val="003C4E8E"/>
    <w:rsid w:val="003D3158"/>
    <w:rsid w:val="003D7CB2"/>
    <w:rsid w:val="003F581F"/>
    <w:rsid w:val="00400308"/>
    <w:rsid w:val="004029ED"/>
    <w:rsid w:val="00471B7B"/>
    <w:rsid w:val="004809BF"/>
    <w:rsid w:val="004A364B"/>
    <w:rsid w:val="004B24D6"/>
    <w:rsid w:val="004B3400"/>
    <w:rsid w:val="004B4717"/>
    <w:rsid w:val="004D6742"/>
    <w:rsid w:val="005043E0"/>
    <w:rsid w:val="005066AA"/>
    <w:rsid w:val="00550023"/>
    <w:rsid w:val="005501C8"/>
    <w:rsid w:val="00570B14"/>
    <w:rsid w:val="00573DC5"/>
    <w:rsid w:val="00574F86"/>
    <w:rsid w:val="00575A28"/>
    <w:rsid w:val="005E43A1"/>
    <w:rsid w:val="005E4A0C"/>
    <w:rsid w:val="00601A15"/>
    <w:rsid w:val="0064103B"/>
    <w:rsid w:val="00654B7A"/>
    <w:rsid w:val="00664357"/>
    <w:rsid w:val="006A2666"/>
    <w:rsid w:val="006B51E3"/>
    <w:rsid w:val="006F0A1C"/>
    <w:rsid w:val="0075651D"/>
    <w:rsid w:val="00766EF7"/>
    <w:rsid w:val="00777474"/>
    <w:rsid w:val="007D1D9A"/>
    <w:rsid w:val="007E2667"/>
    <w:rsid w:val="0082443C"/>
    <w:rsid w:val="00856499"/>
    <w:rsid w:val="008A4898"/>
    <w:rsid w:val="008B42B3"/>
    <w:rsid w:val="008D42AC"/>
    <w:rsid w:val="008D6218"/>
    <w:rsid w:val="009018BA"/>
    <w:rsid w:val="009103BC"/>
    <w:rsid w:val="00947E58"/>
    <w:rsid w:val="00990CA1"/>
    <w:rsid w:val="009B0F50"/>
    <w:rsid w:val="009E04CD"/>
    <w:rsid w:val="009E6258"/>
    <w:rsid w:val="00A1276B"/>
    <w:rsid w:val="00A64A1D"/>
    <w:rsid w:val="00A96AB7"/>
    <w:rsid w:val="00AB4ACD"/>
    <w:rsid w:val="00AC1382"/>
    <w:rsid w:val="00AC1621"/>
    <w:rsid w:val="00B0733D"/>
    <w:rsid w:val="00B14BFA"/>
    <w:rsid w:val="00B34DFE"/>
    <w:rsid w:val="00B64AF1"/>
    <w:rsid w:val="00B673C3"/>
    <w:rsid w:val="00BA4A73"/>
    <w:rsid w:val="00BC6604"/>
    <w:rsid w:val="00BF7AA5"/>
    <w:rsid w:val="00C06E03"/>
    <w:rsid w:val="00CB6B5B"/>
    <w:rsid w:val="00D66C9B"/>
    <w:rsid w:val="00DD0434"/>
    <w:rsid w:val="00E206EA"/>
    <w:rsid w:val="00EB4582"/>
    <w:rsid w:val="00F168AF"/>
    <w:rsid w:val="00F322F0"/>
    <w:rsid w:val="00F44912"/>
    <w:rsid w:val="00F74173"/>
    <w:rsid w:val="00FA24E6"/>
    <w:rsid w:val="00FB0B6F"/>
    <w:rsid w:val="00FC3619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A664"/>
  <w15:chartTrackingRefBased/>
  <w15:docId w15:val="{0E3B9503-EA5B-46BD-9D3A-36B0B7D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74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38F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38F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74F86"/>
    <w:rPr>
      <w:rFonts w:asciiTheme="majorHAnsi" w:eastAsiaTheme="majorEastAsia" w:hAnsiTheme="majorHAnsi" w:cstheme="majorBidi"/>
      <w:color w:val="00538F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F0A1C"/>
    <w:rPr>
      <w:rFonts w:asciiTheme="majorHAnsi" w:eastAsiaTheme="majorEastAsia" w:hAnsiTheme="majorHAnsi" w:cstheme="majorBidi"/>
      <w:color w:val="00538F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6F0A1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D1D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1D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1D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1D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1D9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D9A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A127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76B"/>
  </w:style>
  <w:style w:type="paragraph" w:styleId="Podnoje">
    <w:name w:val="footer"/>
    <w:basedOn w:val="Normal"/>
    <w:link w:val="PodnojeChar"/>
    <w:uiPriority w:val="99"/>
    <w:unhideWhenUsed/>
    <w:rsid w:val="00A1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76B"/>
  </w:style>
  <w:style w:type="character" w:styleId="Hiperveza">
    <w:name w:val="Hyperlink"/>
    <w:basedOn w:val="Zadanifontodlomka"/>
    <w:uiPriority w:val="99"/>
    <w:unhideWhenUsed/>
    <w:rsid w:val="009E04C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E0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info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FFC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CC2A32B-90D5-4DA6-AA13-4F736C23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Njegovec</dc:creator>
  <cp:keywords/>
  <dc:description/>
  <cp:lastModifiedBy>SbPlus</cp:lastModifiedBy>
  <cp:revision>2</cp:revision>
  <dcterms:created xsi:type="dcterms:W3CDTF">2020-07-31T09:17:00Z</dcterms:created>
  <dcterms:modified xsi:type="dcterms:W3CDTF">2020-07-31T09:17:00Z</dcterms:modified>
</cp:coreProperties>
</file>